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059DB2C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Burmistrz</w:t>
            </w:r>
            <w:r w:rsidR="003B79E3">
              <w:rPr>
                <w:rFonts w:ascii="Arial" w:hAnsi="Arial" w:cs="Arial"/>
                <w:sz w:val="18"/>
                <w:szCs w:val="18"/>
              </w:rPr>
              <w:t xml:space="preserve"> Chociwla ul. Armii Krajowej 52, 73-120 Chociwel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5A4341B6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</w:t>
            </w:r>
            <w:r w:rsidR="003B79E3">
              <w:rPr>
                <w:rFonts w:ascii="Arial" w:hAnsi="Arial" w:cs="Arial"/>
                <w:sz w:val="18"/>
                <w:szCs w:val="18"/>
              </w:rPr>
              <w:t xml:space="preserve"> Chociwla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5FC4E29E" w:rsidR="0044172A" w:rsidRPr="003B79E3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>Administrator –Burmistrz</w:t>
            </w:r>
            <w:r w:rsidR="003B79E3" w:rsidRPr="003B79E3">
              <w:rPr>
                <w:rFonts w:ascii="Arial" w:hAnsi="Arial" w:cs="Arial"/>
                <w:sz w:val="18"/>
                <w:szCs w:val="18"/>
              </w:rPr>
              <w:t xml:space="preserve"> Chociwla </w:t>
            </w:r>
            <w:r w:rsidRPr="003B79E3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 w:rsidR="003B79E3" w:rsidRPr="003B79E3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3B79E3" w:rsidRPr="003B79E3">
              <w:rPr>
                <w:rFonts w:ascii="Arial" w:hAnsi="Arial" w:cs="Arial"/>
                <w:sz w:val="18"/>
                <w:szCs w:val="18"/>
              </w:rPr>
              <w:t xml:space="preserve">dres email: </w:t>
            </w:r>
            <w:hyperlink r:id="rId8" w:history="1">
              <w:r w:rsidR="003B79E3" w:rsidRPr="003B79E3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bkaniuk@proinspektor.pl</w:t>
              </w:r>
            </w:hyperlink>
            <w:r w:rsidR="003B79E3" w:rsidRPr="003B79E3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  <w:p w14:paraId="557BD7D7" w14:textId="77777777" w:rsidR="0044172A" w:rsidRPr="003B79E3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Pr="003B79E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</w:t>
            </w:r>
            <w:r w:rsidR="00142043" w:rsidRPr="003B79E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3B79E3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 w:rsidRPr="003B79E3">
              <w:rPr>
                <w:rFonts w:ascii="Arial" w:hAnsi="Arial" w:cs="Arial"/>
                <w:sz w:val="18"/>
                <w:szCs w:val="18"/>
              </w:rPr>
              <w:t>mc.gov.pl</w:t>
            </w:r>
            <w:r w:rsidRPr="003B79E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 w:rsidRPr="003B79E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B79E3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Pr="003B79E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Pr="003B79E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="00066DC2" w:rsidRPr="003B79E3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 w:rsidRPr="003B7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9E3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Pr="003B79E3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3B79E3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 w:rsidRP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641F1AEA" w:rsidR="00CE4C32" w:rsidRPr="0043188E" w:rsidRDefault="00CE4C32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</w:t>
            </w:r>
            <w:r w:rsid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Chociwla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="007518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="007518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="007518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281B23D5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</w:t>
            </w:r>
            <w:r w:rsid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Chociwla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2B2A4E07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</w:t>
            </w:r>
            <w:r w:rsid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</w:t>
            </w:r>
            <w:bookmarkStart w:id="0" w:name="_GoBack"/>
            <w:bookmarkEnd w:id="0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3B79E3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3B79E3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B79E3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</cp:lastModifiedBy>
  <cp:revision>5</cp:revision>
  <cp:lastPrinted>2019-07-02T11:03:00Z</cp:lastPrinted>
  <dcterms:created xsi:type="dcterms:W3CDTF">2019-06-25T14:23:00Z</dcterms:created>
  <dcterms:modified xsi:type="dcterms:W3CDTF">2019-07-02T11:04:00Z</dcterms:modified>
</cp:coreProperties>
</file>